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культурного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107738" w:rsidRPr="00B4162A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1.1. </w:t>
      </w:r>
      <w:r w:rsidR="00107738" w:rsidRPr="00B4162A">
        <w:rPr>
          <w:rStyle w:val="a4"/>
          <w:b w:val="0"/>
          <w:sz w:val="22"/>
          <w:szCs w:val="22"/>
        </w:rPr>
        <w:t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гражданского единства российской нации и обеспечение этнокультурного развития народов нашей страны при гармонично развивающихся межэтнических и межрелигиозных отношениях. В связи с этим в 2009 году Департаментом национальной политики и межрегиональных связей города Москвы,  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1.2.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условия участия в Конкурсе научно-публицистических работ </w:t>
      </w:r>
      <w:r w:rsidR="008218DB" w:rsidRPr="00B4162A">
        <w:rPr>
          <w:rStyle w:val="a4"/>
          <w:b w:val="0"/>
          <w:sz w:val="22"/>
          <w:szCs w:val="22"/>
        </w:rPr>
        <w:t xml:space="preserve">(далее – конкурсная работа)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>государственной национальной политики, сохранения и популяризации 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>1.</w:t>
      </w:r>
      <w:r w:rsidR="00107738" w:rsidRPr="00B4162A">
        <w:rPr>
          <w:rStyle w:val="a4"/>
          <w:b w:val="0"/>
          <w:sz w:val="22"/>
          <w:szCs w:val="22"/>
        </w:rPr>
        <w:t>3</w:t>
      </w:r>
      <w:r w:rsidRPr="00B4162A">
        <w:rPr>
          <w:rStyle w:val="a4"/>
          <w:b w:val="0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 Конкурса научно-публицистических работ молодых исследователей в области государственной национальной политики, сохранения и популяризации культурного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6974F2">
        <w:rPr>
          <w:rFonts w:ascii="Times New Roman" w:eastAsia="Times New Roman" w:hAnsi="Times New Roman" w:cs="Times New Roman"/>
          <w:strike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07738">
        <w:rPr>
          <w:rFonts w:ascii="Times New Roman" w:eastAsia="Times New Roman" w:hAnsi="Times New Roman" w:cs="Times New Roman"/>
          <w:lang w:eastAsia="ru-RU"/>
        </w:rPr>
        <w:t>опуляризация знаний в области межэтнических отношений и национальной политики в Российской Федерации, ознакомление целевой аудитории с вопросами этнокультурного развития современной России.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вопросам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этнической и культурной 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культуре населяющих ее народов. </w:t>
      </w:r>
    </w:p>
    <w:p w:rsidR="00C900B6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опуляризация 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Pr="00B4162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тимулирования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1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 проходит с </w:t>
      </w:r>
      <w:r w:rsidR="00516BFE">
        <w:rPr>
          <w:rFonts w:ascii="Times New Roman" w:eastAsia="Times New Roman" w:hAnsi="Times New Roman" w:cs="Times New Roman"/>
          <w:lang w:eastAsia="ru-RU"/>
        </w:rPr>
        <w:t>12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BFE">
        <w:rPr>
          <w:rFonts w:ascii="Times New Roman" w:eastAsia="Times New Roman" w:hAnsi="Times New Roman" w:cs="Times New Roman"/>
          <w:lang w:eastAsia="ru-RU"/>
        </w:rPr>
        <w:t>АВГУСТА</w:t>
      </w:r>
      <w:r w:rsidR="004C7E28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>201</w:t>
      </w:r>
      <w:r w:rsidR="00516BFE">
        <w:rPr>
          <w:rFonts w:ascii="Times New Roman" w:eastAsia="Times New Roman" w:hAnsi="Times New Roman" w:cs="Times New Roman"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г. по 1</w:t>
      </w:r>
      <w:r w:rsidR="00516BFE">
        <w:rPr>
          <w:rFonts w:ascii="Times New Roman" w:eastAsia="Times New Roman" w:hAnsi="Times New Roman" w:cs="Times New Roman"/>
          <w:lang w:eastAsia="ru-RU"/>
        </w:rPr>
        <w:t>2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ОКТЯБРЯ 201</w:t>
      </w:r>
      <w:r w:rsidR="00516BFE">
        <w:rPr>
          <w:rFonts w:ascii="Times New Roman" w:eastAsia="Times New Roman" w:hAnsi="Times New Roman" w:cs="Times New Roman"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B4162A">
        <w:rPr>
          <w:rFonts w:ascii="Times New Roman" w:eastAsia="Times New Roman" w:hAnsi="Times New Roman" w:cs="Times New Roman"/>
          <w:lang w:eastAsia="ru-RU"/>
        </w:rPr>
        <w:br/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работ – 1</w:t>
      </w:r>
      <w:r w:rsidR="00482FEF">
        <w:rPr>
          <w:rFonts w:ascii="Times New Roman" w:eastAsia="Times New Roman" w:hAnsi="Times New Roman" w:cs="Times New Roman"/>
          <w:bCs/>
          <w:lang w:eastAsia="ru-RU"/>
        </w:rPr>
        <w:t>2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ОКТЯБРЯ 201</w:t>
      </w:r>
      <w:r w:rsidR="00482FEF">
        <w:rPr>
          <w:rFonts w:ascii="Times New Roman" w:eastAsia="Times New Roman" w:hAnsi="Times New Roman" w:cs="Times New Roman"/>
          <w:bCs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ГОДА. При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отправке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>работ почтой учитывайте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позднее 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29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9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г. в ГБУ «МДН».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4.2.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  <w:t>4.3</w:t>
      </w:r>
      <w:r w:rsidR="006974F2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указанной тематикой.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4.4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4.5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 участник может подать несколько разных работ по одной или нескольким темам с соблюдением для каждой из них основных правил Конкурса (каждая из работ должна являться оригинальной, с авторскими идеями, 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4.6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4.8.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4.10.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4.11.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>В случае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участником.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4.12.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работ.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на электронный адрес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О</w:t>
      </w:r>
      <w:r w:rsidRPr="006A6098">
        <w:rPr>
          <w:rFonts w:ascii="Times New Roman" w:eastAsia="Times New Roman" w:hAnsi="Times New Roman" w:cs="Times New Roman"/>
          <w:lang w:eastAsia="ru-RU"/>
        </w:rPr>
        <w:t>рганизатор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а 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 xml:space="preserve">анкету участника Конкурса с указанием Конкурса, номинации, сведений об </w:t>
      </w:r>
      <w:r w:rsidRPr="00B4162A">
        <w:rPr>
          <w:rFonts w:ascii="Times New Roman" w:hAnsi="Times New Roman" w:cs="Times New Roman"/>
        </w:rPr>
        <w:t>авторе и сведений о научном руководителе (если имеется);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Pr="00B4162A">
        <w:rPr>
          <w:rFonts w:ascii="Times New Roman" w:hAnsi="Times New Roman" w:cs="Times New Roman"/>
        </w:rPr>
        <w:t>, представляемой на Конкурс.</w:t>
      </w:r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</w:t>
      </w:r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B4162A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pt</w:t>
      </w:r>
      <w:proofErr w:type="spellEnd"/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одинарный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F54A35">
        <w:rPr>
          <w:rFonts w:ascii="Times New Roman" w:eastAsia="Times New Roman" w:hAnsi="Times New Roman" w:cs="Times New Roman"/>
          <w:lang w:eastAsia="ru-RU"/>
        </w:rPr>
        <w:t>4</w:t>
      </w:r>
      <w:proofErr w:type="gramEnd"/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25 см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текста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10 000 – 15 000 знаков. </w:t>
      </w:r>
    </w:p>
    <w:p w:rsidR="004329FA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(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F54A35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F54A35">
        <w:rPr>
          <w:rFonts w:ascii="Times New Roman" w:eastAsia="Times New Roman" w:hAnsi="Times New Roman" w:cs="Times New Roman"/>
          <w:lang w:eastAsia="ru-RU"/>
        </w:rPr>
        <w:t>)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общий список публикаций участника,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782165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>ригинальность работы должна составлять не менее 75%.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подготовить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29FA" w:rsidRPr="00B4162A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4329FA" w:rsidRPr="00B4162A">
        <w:rPr>
          <w:rFonts w:ascii="Times New Roman" w:eastAsia="Times New Roman" w:hAnsi="Times New Roman" w:cs="Times New Roman"/>
          <w:lang w:eastAsia="ru-RU"/>
        </w:rPr>
        <w:t>, рисунки и т.д., что будет являться преимуществом при оценк</w:t>
      </w:r>
      <w:r w:rsidR="00BE3EC6" w:rsidRPr="00B4162A">
        <w:rPr>
          <w:rFonts w:ascii="Times New Roman" w:eastAsia="Times New Roman" w:hAnsi="Times New Roman" w:cs="Times New Roman"/>
          <w:lang w:eastAsia="ru-RU"/>
        </w:rPr>
        <w:t>е</w:t>
      </w:r>
      <w:r w:rsidR="004329FA" w:rsidRPr="00B4162A">
        <w:rPr>
          <w:rFonts w:ascii="Times New Roman" w:eastAsia="Times New Roman" w:hAnsi="Times New Roman" w:cs="Times New Roman"/>
          <w:strike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работы.</w:t>
      </w:r>
    </w:p>
    <w:p w:rsidR="004329FA" w:rsidRPr="00B4162A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заголовок, подзаголовки (при необходимости), введение и другие необходимые структурные элементы. Формат изложения выбирается самим участником: </w:t>
      </w:r>
      <w:r w:rsidR="00CB498C" w:rsidRPr="00B4162A">
        <w:rPr>
          <w:rFonts w:ascii="Times New Roman" w:eastAsia="Times New Roman" w:hAnsi="Times New Roman" w:cs="Times New Roman"/>
          <w:lang w:eastAsia="ru-RU"/>
        </w:rPr>
        <w:t xml:space="preserve">эссе, </w:t>
      </w:r>
      <w:r w:rsidRPr="00B4162A">
        <w:rPr>
          <w:rFonts w:ascii="Times New Roman" w:eastAsia="Times New Roman" w:hAnsi="Times New Roman" w:cs="Times New Roman"/>
          <w:lang w:eastAsia="ru-RU"/>
        </w:rPr>
        <w:t>очерк, статья, репортаж, интервью и т.д.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lastRenderedPageBreak/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ь вопросов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Адаптация и интеграция трудовых мигрантов: проблемы и пути их решения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Культурное взаимодействие народов России: история и современность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Проблемы сохранения и популяризации культуры малочисленных народов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СМИ и культурные традиции народов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Этническая культура в условиях современности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современность 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сообщается в недельный срок 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Для проведения </w:t>
      </w:r>
      <w:proofErr w:type="gramStart"/>
      <w:r w:rsidR="005D1236" w:rsidRPr="00B4162A">
        <w:rPr>
          <w:rFonts w:ascii="Times New Roman" w:eastAsia="Times New Roman" w:hAnsi="Times New Roman" w:cs="Times New Roman"/>
          <w:lang w:eastAsia="ru-RU"/>
        </w:rPr>
        <w:t>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</w:t>
      </w:r>
      <w:proofErr w:type="gramEnd"/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творческий характер работы, 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до </w:t>
      </w:r>
      <w:r w:rsidRPr="00F54A35">
        <w:rPr>
          <w:rFonts w:ascii="Times New Roman" w:eastAsia="Times New Roman" w:hAnsi="Times New Roman" w:cs="Times New Roman"/>
          <w:b/>
          <w:lang w:eastAsia="ru-RU"/>
        </w:rPr>
        <w:t>3 декабря 2018 года в ГБУ «МДН».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конкурса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 По усмотрению жюри могут быть определены дополнительные номинации.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Награждение победителей Конкурса будет осуществляться на </w:t>
      </w:r>
      <w:r w:rsidR="00EF293B">
        <w:rPr>
          <w:rFonts w:ascii="Times New Roman" w:eastAsia="Times New Roman" w:hAnsi="Times New Roman" w:cs="Times New Roman"/>
          <w:lang w:eastAsia="ru-RU"/>
        </w:rPr>
        <w:t>последнем</w:t>
      </w:r>
      <w:r w:rsidRPr="00F54A35">
        <w:rPr>
          <w:rFonts w:ascii="Times New Roman" w:eastAsia="Times New Roman" w:hAnsi="Times New Roman" w:cs="Times New Roman"/>
          <w:lang w:eastAsia="ru-RU"/>
        </w:rPr>
        <w:t xml:space="preserve"> занятии просветительского лектория «Государственная национальная политика и межэтнические отношения в Российской Федерации». При невозможности принять участие приз</w:t>
      </w:r>
      <w:r w:rsidR="00EF293B">
        <w:rPr>
          <w:rFonts w:ascii="Times New Roman" w:eastAsia="Times New Roman" w:hAnsi="Times New Roman" w:cs="Times New Roman"/>
          <w:lang w:eastAsia="ru-RU"/>
        </w:rPr>
        <w:t xml:space="preserve"> и сертификат </w:t>
      </w:r>
      <w:r w:rsidRPr="00B4162A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 xml:space="preserve">яется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Pr="00C95EDB">
        <w:rPr>
          <w:rFonts w:ascii="Times New Roman" w:eastAsia="Times New Roman" w:hAnsi="Times New Roman" w:cs="Times New Roman"/>
          <w:lang w:eastAsia="ru-RU"/>
        </w:rPr>
        <w:t>жительства</w:t>
      </w:r>
      <w:r w:rsidR="00F33CF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 участников, несет направляющая организация или сами участники.</w:t>
      </w: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8.1.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8.2.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8.3.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Научную экспертизу проводят независимые </w:t>
      </w:r>
      <w:r w:rsidRPr="00782165">
        <w:rPr>
          <w:rFonts w:ascii="Times New Roman" w:eastAsia="Times New Roman" w:hAnsi="Times New Roman" w:cs="Times New Roman"/>
          <w:lang w:eastAsia="ru-RU"/>
        </w:rPr>
        <w:t>эксперты</w:t>
      </w:r>
      <w:r w:rsidR="00B4162A" w:rsidRPr="00782165">
        <w:rPr>
          <w:rFonts w:ascii="Times New Roman" w:eastAsia="Times New Roman" w:hAnsi="Times New Roman" w:cs="Times New Roman"/>
          <w:lang w:eastAsia="ru-RU"/>
        </w:rPr>
        <w:t xml:space="preserve"> (Жюри Конкурса)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 из числа российских ученых, являющихся специалистами в соответствующей области знаний.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Результаты научной экспертизы оформляются отдельно по каждому научному направлению в виде обобщенного экспертного заключения, подготовленного с учетом заключений независимых экспертов. </w:t>
      </w:r>
    </w:p>
    <w:p w:rsidR="00F33CFD" w:rsidRPr="00782165" w:rsidRDefault="00B4162A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Жюри Конкурса</w:t>
      </w:r>
      <w:r w:rsidR="00F33CFD" w:rsidRPr="00782165">
        <w:rPr>
          <w:rFonts w:ascii="Times New Roman" w:eastAsia="Times New Roman" w:hAnsi="Times New Roman" w:cs="Times New Roman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По результатам научной экспертизы на основании полученной суммы баллов составляется рейтинговый список участников, которые проходят в финал конкурса. Список участников, прошедших в финал, утверждается Организатором Конкурса и публикуется на официальном сайте.</w:t>
      </w:r>
    </w:p>
    <w:p w:rsidR="00F33CFD" w:rsidRP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Решение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>Ж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юри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 xml:space="preserve">Конкурса 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>обжалованию не подлежит.</w:t>
      </w:r>
    </w:p>
    <w:p w:rsid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5354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329FA" w:rsidRPr="00F54A35" w:rsidRDefault="00215354" w:rsidP="0042640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hAnsi="Times New Roman" w:cs="Times New Roman"/>
          <w:b/>
        </w:rPr>
        <w:t>mdn-</w:t>
      </w:r>
      <w:r w:rsidR="008E5512" w:rsidRPr="00F54A35">
        <w:rPr>
          <w:rFonts w:ascii="Times New Roman" w:hAnsi="Times New Roman" w:cs="Times New Roman"/>
          <w:b/>
        </w:rPr>
        <w:t>awards@yandex.ru</w:t>
      </w:r>
    </w:p>
    <w:p w:rsidR="004329FA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314C09">
        <w:rPr>
          <w:rFonts w:ascii="Times New Roman" w:eastAsia="Times New Roman" w:hAnsi="Times New Roman" w:cs="Times New Roman"/>
          <w:bCs/>
          <w:lang w:eastAsia="ru-RU"/>
        </w:rPr>
        <w:t xml:space="preserve"> по телефонам: +7(495)625-42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-</w:t>
      </w:r>
      <w:r w:rsidR="00314C09">
        <w:rPr>
          <w:rFonts w:ascii="Times New Roman" w:eastAsia="Times New Roman" w:hAnsi="Times New Roman" w:cs="Times New Roman"/>
          <w:bCs/>
          <w:lang w:eastAsia="ru-RU"/>
        </w:rPr>
        <w:t>36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, +7(495)625-7</w:t>
      </w:r>
      <w:r w:rsidR="00314C09">
        <w:rPr>
          <w:rFonts w:ascii="Times New Roman" w:eastAsia="Times New Roman" w:hAnsi="Times New Roman" w:cs="Times New Roman"/>
          <w:bCs/>
          <w:lang w:eastAsia="ru-RU"/>
        </w:rPr>
        <w:t>9-55</w:t>
      </w:r>
      <w:bookmarkStart w:id="0" w:name="_GoBack"/>
      <w:bookmarkEnd w:id="0"/>
      <w:r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Pr="00B4162A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mdn</w:t>
        </w:r>
        <w:proofErr w:type="spellEnd"/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P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sectPr w:rsidR="00F54A35" w:rsidRPr="00F54A35" w:rsidSect="006A60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27BEF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C326164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C4114D"/>
    <w:multiLevelType w:val="multilevel"/>
    <w:tmpl w:val="E362D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0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3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6"/>
  </w:num>
  <w:num w:numId="19">
    <w:abstractNumId w:val="32"/>
  </w:num>
  <w:num w:numId="20">
    <w:abstractNumId w:val="8"/>
  </w:num>
  <w:num w:numId="21">
    <w:abstractNumId w:val="40"/>
  </w:num>
  <w:num w:numId="22">
    <w:abstractNumId w:val="34"/>
  </w:num>
  <w:num w:numId="23">
    <w:abstractNumId w:val="41"/>
  </w:num>
  <w:num w:numId="24">
    <w:abstractNumId w:val="3"/>
  </w:num>
  <w:num w:numId="25">
    <w:abstractNumId w:val="29"/>
  </w:num>
  <w:num w:numId="26">
    <w:abstractNumId w:val="39"/>
  </w:num>
  <w:num w:numId="27">
    <w:abstractNumId w:val="35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8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3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7B42"/>
    <w:rsid w:val="00107738"/>
    <w:rsid w:val="001B24D8"/>
    <w:rsid w:val="001C37DE"/>
    <w:rsid w:val="001F5E97"/>
    <w:rsid w:val="00215354"/>
    <w:rsid w:val="002202EE"/>
    <w:rsid w:val="00256F0F"/>
    <w:rsid w:val="002A4C6C"/>
    <w:rsid w:val="002D14E1"/>
    <w:rsid w:val="00314C09"/>
    <w:rsid w:val="003B24B0"/>
    <w:rsid w:val="003D331B"/>
    <w:rsid w:val="003E39A9"/>
    <w:rsid w:val="00426406"/>
    <w:rsid w:val="004329FA"/>
    <w:rsid w:val="00437E70"/>
    <w:rsid w:val="00443A90"/>
    <w:rsid w:val="00482FEF"/>
    <w:rsid w:val="00486031"/>
    <w:rsid w:val="004C7E28"/>
    <w:rsid w:val="00516BFE"/>
    <w:rsid w:val="00591200"/>
    <w:rsid w:val="00596B14"/>
    <w:rsid w:val="005C0DA5"/>
    <w:rsid w:val="005D1236"/>
    <w:rsid w:val="005D18B3"/>
    <w:rsid w:val="00615B05"/>
    <w:rsid w:val="00657622"/>
    <w:rsid w:val="00667691"/>
    <w:rsid w:val="006974F2"/>
    <w:rsid w:val="006A6098"/>
    <w:rsid w:val="00704E14"/>
    <w:rsid w:val="00727A0B"/>
    <w:rsid w:val="00782165"/>
    <w:rsid w:val="007E5BBD"/>
    <w:rsid w:val="008218DB"/>
    <w:rsid w:val="00887046"/>
    <w:rsid w:val="008930EE"/>
    <w:rsid w:val="008A0A23"/>
    <w:rsid w:val="008E4866"/>
    <w:rsid w:val="008E5512"/>
    <w:rsid w:val="00912DE9"/>
    <w:rsid w:val="009327FB"/>
    <w:rsid w:val="009642FB"/>
    <w:rsid w:val="009740E3"/>
    <w:rsid w:val="00990935"/>
    <w:rsid w:val="00992DD8"/>
    <w:rsid w:val="00992DE4"/>
    <w:rsid w:val="009F763D"/>
    <w:rsid w:val="00A0670B"/>
    <w:rsid w:val="00A25550"/>
    <w:rsid w:val="00AF09F5"/>
    <w:rsid w:val="00B15298"/>
    <w:rsid w:val="00B4162A"/>
    <w:rsid w:val="00B91BC9"/>
    <w:rsid w:val="00BE3EC6"/>
    <w:rsid w:val="00C900B6"/>
    <w:rsid w:val="00C95EDB"/>
    <w:rsid w:val="00CB498C"/>
    <w:rsid w:val="00CE6EA6"/>
    <w:rsid w:val="00D079EA"/>
    <w:rsid w:val="00D249D3"/>
    <w:rsid w:val="00D41C21"/>
    <w:rsid w:val="00D84E62"/>
    <w:rsid w:val="00DD571C"/>
    <w:rsid w:val="00DE4B46"/>
    <w:rsid w:val="00E869E6"/>
    <w:rsid w:val="00EB230B"/>
    <w:rsid w:val="00EF293B"/>
    <w:rsid w:val="00F33CFD"/>
    <w:rsid w:val="00F54A35"/>
    <w:rsid w:val="00FD1DD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91F-4A08-45C4-AEE5-A621BDA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Хатамов Хатам Д.</cp:lastModifiedBy>
  <cp:revision>18</cp:revision>
  <cp:lastPrinted>2018-03-12T13:10:00Z</cp:lastPrinted>
  <dcterms:created xsi:type="dcterms:W3CDTF">2018-03-22T12:54:00Z</dcterms:created>
  <dcterms:modified xsi:type="dcterms:W3CDTF">2019-08-08T09:25:00Z</dcterms:modified>
</cp:coreProperties>
</file>